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指尖传情，跨越数字鸿沟</w:t>
      </w:r>
    </w:p>
    <w:p>
      <w:pPr>
        <w:ind w:left="298" w:leftChars="142"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137795</wp:posOffset>
            </wp:positionV>
            <wp:extent cx="1997710" cy="1497965"/>
            <wp:effectExtent l="0" t="0" r="2540" b="6985"/>
            <wp:wrapSquare wrapText="bothSides"/>
            <wp:docPr id="3" name="图片 3" descr="2786881ac141d100f3477804542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86881ac141d100f347780454208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>为让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辖区老年人</w:t>
      </w:r>
      <w:r>
        <w:rPr>
          <w:rFonts w:hint="eastAsia" w:ascii="仿宋_GB2312" w:hAnsi="仿宋_GB2312" w:eastAsia="仿宋_GB2312" w:cs="仿宋_GB2312"/>
          <w:sz w:val="30"/>
          <w:szCs w:val="30"/>
        </w:rPr>
        <w:t>从“怕网一族”成为“触网一族”，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10月29日下午，</w:t>
      </w:r>
      <w:r>
        <w:rPr>
          <w:rFonts w:hint="eastAsia" w:ascii="仿宋_GB2312" w:hAnsi="仿宋_GB2312" w:eastAsia="仿宋_GB2312" w:cs="仿宋_GB2312"/>
          <w:sz w:val="30"/>
          <w:szCs w:val="30"/>
        </w:rPr>
        <w:t>同济大学（嘉定校区）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学生志愿者来到包桥村新时代文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明实践站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开展“指尖传情，跨越数字鸿沟”新时代文明实践活动，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0"/>
          <w:szCs w:val="30"/>
        </w:rPr>
        <w:t>提高老年人的互联网应用能力和网络风险防范水平，帮助老年人跨越“数字鸿沟”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left="298" w:leftChars="142"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3357245</wp:posOffset>
            </wp:positionV>
            <wp:extent cx="2381250" cy="1785620"/>
            <wp:effectExtent l="0" t="0" r="0" b="5080"/>
            <wp:wrapSquare wrapText="bothSides"/>
            <wp:docPr id="2" name="图片 2" descr="4381d47663a8927474d617eb4e1c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81d47663a8927474d617eb4e1ca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187325</wp:posOffset>
            </wp:positionV>
            <wp:extent cx="2126615" cy="1594485"/>
            <wp:effectExtent l="0" t="0" r="6985" b="5715"/>
            <wp:wrapSquare wrapText="bothSides"/>
            <wp:docPr id="1" name="图片 1" descr="30fe7a71a9f974c553e7a780f610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fe7a71a9f974c553e7a780f6109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活动分为两部分。首先，志愿者从手机基本操作、聊天软件、手机支付三个方面向老年人</w:t>
      </w:r>
      <w:r>
        <w:rPr>
          <w:rFonts w:hint="eastAsia" w:ascii="仿宋_GB2312" w:hAnsi="仿宋_GB2312" w:eastAsia="仿宋_GB2312" w:cs="仿宋_GB2312"/>
          <w:sz w:val="30"/>
          <w:szCs w:val="30"/>
        </w:rPr>
        <w:t>讲解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智能手机操作使用方法和</w:t>
      </w:r>
      <w:r>
        <w:rPr>
          <w:rFonts w:hint="eastAsia" w:ascii="仿宋_GB2312" w:hAnsi="仿宋_GB2312" w:eastAsia="仿宋_GB2312" w:cs="仿宋_GB2312"/>
          <w:sz w:val="30"/>
          <w:szCs w:val="30"/>
        </w:rPr>
        <w:t>防范网络诈骗知识。志愿者们用通俗易懂的语言,耐心为老人们讲解了如何使用微信、拍照、看视频等手机日常功能使用；向老人讲述当前较为常见的一些网络诈骗犯罪手法和防范对策，让他们在享受网络智慧生活的同时，树立安全防范意识，谨防上当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随后，志愿者们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手把手，1对1帮助老年人解决使用手机上的困难，例如如何添加微信好友，如何打开随申码等等。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张雅萍笑着对志愿者们说：“感谢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同学们，让我们这些乡下人也‘潮’了一把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。”</w:t>
      </w:r>
    </w:p>
    <w:p>
      <w:pPr>
        <w:ind w:left="298" w:leftChars="142"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本次活动通过指尖的温度，传递两代人之间的温暖与关怀，让更多的老年朋友能够跨越“数字鸿沟”，跟上时代步伐，学会安全使用智能手机，提高“网络诈骗”防范意识，从而享受精彩的网络生活。</w:t>
      </w:r>
    </w:p>
    <w:p>
      <w:pPr>
        <w:ind w:left="298" w:leftChars="142"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包桥村</w:t>
      </w:r>
    </w:p>
    <w:p>
      <w:pPr>
        <w:ind w:left="298" w:leftChars="142" w:firstLine="600" w:firstLineChars="200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2021年10月29日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80BFA"/>
    <w:rsid w:val="05322408"/>
    <w:rsid w:val="1E0F04FB"/>
    <w:rsid w:val="298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2021-10-29T08:37:00Z</dcterms:created>
  <dc:creator>阿门阿前一棵葡萄树</dc:creator>
  <cp:lastModifiedBy>阿门阿前一棵葡萄树</cp:lastModifiedBy>
  <dcterms:modified xsi:type="dcterms:W3CDTF">2021-10-29T09:19:01Z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243463F6199641A284436AA5A979AD7E</vt:lpwstr>
  </property>
</Properties>
</file>