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E4" w:rsidRPr="00034A8A" w:rsidRDefault="001D4FE2" w:rsidP="00034A8A">
      <w:pPr>
        <w:jc w:val="center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r w:rsidRPr="00034A8A">
        <w:rPr>
          <w:rFonts w:ascii="宋体" w:eastAsia="宋体" w:hAnsi="宋体" w:cs="宋体"/>
          <w:kern w:val="0"/>
          <w:sz w:val="28"/>
          <w:szCs w:val="28"/>
        </w:rPr>
        <w:t>2024年静安区老年数字教育进社区活动火热开展中</w:t>
      </w:r>
    </w:p>
    <w:bookmarkEnd w:id="0"/>
    <w:p w:rsidR="001D4FE2" w:rsidRDefault="001D4FE2"/>
    <w:p w:rsidR="00034A8A" w:rsidRPr="00034A8A" w:rsidRDefault="00034A8A" w:rsidP="00DC5EFE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34A8A">
        <w:rPr>
          <w:rFonts w:ascii="宋体" w:eastAsia="宋体" w:hAnsi="宋体" w:cs="宋体"/>
          <w:kern w:val="0"/>
          <w:sz w:val="24"/>
          <w:szCs w:val="24"/>
        </w:rPr>
        <w:t>党的二十大报告明确要求“推进教育数字化，建设全民终身学习的学习型社会、学习型大国”。上海正全面推进教育数字化转型，而上海老龄化程度不断加深，服务老年人等数字弱势群体，协助其共享数字化发展成果，帮助他们跨越“数字鸿沟”，已成为上海全面推进数字化转型中一项重要的职责和使命，成为城市创新发展的一道必答题。今年4月，2024年静安区老年数字教育进社区系列活动正式拉开序幕，活动针对老年群体平时生活经常接触的数字软件平台进行培训，提升本区老年人数字素养和数字化学习能力。</w:t>
      </w:r>
    </w:p>
    <w:p w:rsidR="00034A8A" w:rsidRPr="00034A8A" w:rsidRDefault="00034A8A" w:rsidP="00DC5EFE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034A8A" w:rsidRPr="00034A8A" w:rsidRDefault="00034A8A" w:rsidP="00DC5EFE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34A8A">
        <w:rPr>
          <w:rFonts w:ascii="宋体" w:eastAsia="宋体" w:hAnsi="宋体" w:cs="宋体"/>
          <w:kern w:val="0"/>
          <w:sz w:val="24"/>
          <w:szCs w:val="24"/>
        </w:rPr>
        <w:t>4月18日，2024年静安区老年数字教育进社区系列首场活动在南京西路街道中</w:t>
      </w:r>
      <w:proofErr w:type="gramStart"/>
      <w:r w:rsidRPr="00034A8A">
        <w:rPr>
          <w:rFonts w:ascii="宋体" w:eastAsia="宋体" w:hAnsi="宋体" w:cs="宋体"/>
          <w:kern w:val="0"/>
          <w:sz w:val="24"/>
          <w:szCs w:val="24"/>
        </w:rPr>
        <w:t>凯</w:t>
      </w:r>
      <w:proofErr w:type="gramEnd"/>
      <w:r w:rsidRPr="00034A8A">
        <w:rPr>
          <w:rFonts w:ascii="宋体" w:eastAsia="宋体" w:hAnsi="宋体" w:cs="宋体"/>
          <w:kern w:val="0"/>
          <w:sz w:val="24"/>
          <w:szCs w:val="24"/>
        </w:rPr>
        <w:t>居委举行。志愿者讲师及助教围绕“智慧医疗，助力健康”主题，通过医疗电子凭证、在线问诊、线上配药三个方面向老年朋友们详细介绍了“随申办”、“健康云”等APP的相关功能。活动现场老师还对老年线上就医相关场景模拟，并解答了他们在运用方面遇到的困难与问题，收获了</w:t>
      </w:r>
      <w:proofErr w:type="gramStart"/>
      <w:r w:rsidRPr="00034A8A">
        <w:rPr>
          <w:rFonts w:ascii="宋体" w:eastAsia="宋体" w:hAnsi="宋体" w:cs="宋体"/>
          <w:kern w:val="0"/>
          <w:sz w:val="24"/>
          <w:szCs w:val="24"/>
        </w:rPr>
        <w:t>现场居</w:t>
      </w:r>
      <w:proofErr w:type="gramEnd"/>
      <w:r w:rsidRPr="00034A8A">
        <w:rPr>
          <w:rFonts w:ascii="宋体" w:eastAsia="宋体" w:hAnsi="宋体" w:cs="宋体"/>
          <w:kern w:val="0"/>
          <w:sz w:val="24"/>
          <w:szCs w:val="24"/>
        </w:rPr>
        <w:t>委干部与老年人的一致好评。</w:t>
      </w:r>
    </w:p>
    <w:p w:rsidR="00034A8A" w:rsidRPr="00034A8A" w:rsidRDefault="00034A8A" w:rsidP="00DC5EFE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034A8A" w:rsidRPr="00034A8A" w:rsidRDefault="00034A8A" w:rsidP="00034A8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34A8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CEA3F63" wp14:editId="556C6A0F">
            <wp:extent cx="4281549" cy="3209842"/>
            <wp:effectExtent l="0" t="0" r="508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92" cy="322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A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8E94D4" wp14:editId="4A557942">
            <wp:extent cx="4254500" cy="3190875"/>
            <wp:effectExtent l="0" t="0" r="0" b="952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185" cy="319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A8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5F05704" wp14:editId="2F2660D8">
            <wp:extent cx="4764458" cy="3571875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445" cy="357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A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04711AA" wp14:editId="204AAE49">
            <wp:extent cx="4705350" cy="3529013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561" cy="353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8A" w:rsidRPr="00034A8A" w:rsidRDefault="00034A8A" w:rsidP="00C8537F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34A8A">
        <w:rPr>
          <w:rFonts w:ascii="宋体" w:eastAsia="宋体" w:hAnsi="宋体" w:cs="宋体"/>
          <w:kern w:val="0"/>
          <w:sz w:val="24"/>
          <w:szCs w:val="24"/>
        </w:rPr>
        <w:t>截至4月底，静安区已经开展了37场老年数字教育进社区活动，分布在静安的12个街镇，受到了居委学习点老年朋友的欢迎与好评，共计培训人数832人。</w:t>
      </w:r>
    </w:p>
    <w:p w:rsidR="00034A8A" w:rsidRPr="00034A8A" w:rsidRDefault="00034A8A" w:rsidP="00C8537F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034A8A" w:rsidRPr="00034A8A" w:rsidRDefault="00034A8A" w:rsidP="00C8537F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034A8A">
        <w:rPr>
          <w:rFonts w:ascii="宋体" w:eastAsia="宋体" w:hAnsi="宋体" w:cs="宋体"/>
          <w:kern w:val="0"/>
          <w:sz w:val="24"/>
          <w:szCs w:val="24"/>
        </w:rPr>
        <w:t>未来持续到11月，静安区老年数字教育进社区活动将深入全区14个街镇，共计开展295场。静安社区学院也将根据活动反馈进行总结，继续优化现场教学</w:t>
      </w:r>
      <w:r w:rsidRPr="00034A8A">
        <w:rPr>
          <w:rFonts w:ascii="宋体" w:eastAsia="宋体" w:hAnsi="宋体" w:cs="宋体"/>
          <w:kern w:val="0"/>
          <w:sz w:val="24"/>
          <w:szCs w:val="24"/>
        </w:rPr>
        <w:lastRenderedPageBreak/>
        <w:t>方式与项目流程，持续开展线上资源支持与线下资源配送，更好地帮助静安区老年群体跨越数字鸿沟。</w:t>
      </w:r>
    </w:p>
    <w:p w:rsidR="00034A8A" w:rsidRPr="00034A8A" w:rsidRDefault="00034A8A" w:rsidP="00C8537F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1D4FE2" w:rsidRDefault="00034A8A" w:rsidP="00034A8A">
      <w:pPr>
        <w:jc w:val="center"/>
        <w:rPr>
          <w:rFonts w:hint="eastAsia"/>
        </w:rPr>
      </w:pPr>
      <w:r w:rsidRPr="00034A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7D7F19" wp14:editId="22210890">
            <wp:extent cx="4699000" cy="3524250"/>
            <wp:effectExtent l="0" t="0" r="635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375" cy="352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A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681C1D7" wp14:editId="42725477">
            <wp:extent cx="4584700" cy="3438525"/>
            <wp:effectExtent l="0" t="0" r="6350" b="9525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191" cy="344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A8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AF63430" wp14:editId="31C11E71">
            <wp:extent cx="4572000" cy="3429000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15" cy="343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A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23D0288" wp14:editId="46A348C3">
            <wp:extent cx="4548469" cy="3409950"/>
            <wp:effectExtent l="0" t="0" r="508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116" cy="341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E2"/>
    <w:rsid w:val="00034A8A"/>
    <w:rsid w:val="001D4FE2"/>
    <w:rsid w:val="0078250C"/>
    <w:rsid w:val="00C8537F"/>
    <w:rsid w:val="00DC5EFE"/>
    <w:rsid w:val="00F0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37A0"/>
  <w15:chartTrackingRefBased/>
  <w15:docId w15:val="{F25DE2DD-FBAB-4831-A407-16ED4F4B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肖蒙</dc:creator>
  <cp:keywords/>
  <dc:description/>
  <cp:lastModifiedBy>肖蒙</cp:lastModifiedBy>
  <cp:revision>2</cp:revision>
  <dcterms:created xsi:type="dcterms:W3CDTF">2024-04-30T01:31:00Z</dcterms:created>
  <dcterms:modified xsi:type="dcterms:W3CDTF">2024-04-30T01:40:00Z</dcterms:modified>
</cp:coreProperties>
</file>