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99F" w:rsidRPr="00562037" w:rsidRDefault="00562037" w:rsidP="00562037">
      <w:pPr>
        <w:jc w:val="center"/>
        <w:rPr>
          <w:rFonts w:ascii="宋体" w:eastAsia="宋体" w:hAnsi="宋体"/>
          <w:b/>
          <w:sz w:val="30"/>
          <w:szCs w:val="30"/>
        </w:rPr>
      </w:pPr>
      <w:bookmarkStart w:id="0" w:name="_GoBack"/>
      <w:r w:rsidRPr="00562037">
        <w:rPr>
          <w:rFonts w:ascii="宋体" w:eastAsia="宋体" w:hAnsi="宋体"/>
          <w:b/>
          <w:sz w:val="30"/>
          <w:szCs w:val="30"/>
        </w:rPr>
        <w:t>2023年静安区社区教育居委学习点管理干部培训举行</w:t>
      </w:r>
    </w:p>
    <w:bookmarkEnd w:id="0"/>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9月20日及9月26日，静安社区学院开展了为期两天的静安区社区教育居委学习点管理干部培训。静安社区学院院长蒋中华出席并做开班动员，他提出要搭建学习交流平台，分享特色亮点；深入思考，提升社区教育的知晓度、参与度和满意度；充分利用数字赋能，开展智慧学习等希望和建议。随后，静安社区学院社区教育部副主任黄一乐介绍了培训安排。此次培训共有五场讲座。</w:t>
      </w:r>
    </w:p>
    <w:p w:rsidR="00562037" w:rsidRPr="00562037" w:rsidRDefault="00562037" w:rsidP="00562037">
      <w:pPr>
        <w:widowControl/>
        <w:jc w:val="left"/>
        <w:rPr>
          <w:rFonts w:ascii="宋体" w:eastAsia="宋体" w:hAnsi="宋体" w:cs="宋体"/>
          <w:kern w:val="0"/>
          <w:sz w:val="24"/>
          <w:szCs w:val="24"/>
        </w:rPr>
      </w:pPr>
      <w:r w:rsidRPr="00562037">
        <w:rPr>
          <w:rFonts w:ascii="宋体" w:eastAsia="宋体" w:hAnsi="宋体" w:cs="宋体"/>
          <w:noProof/>
          <w:kern w:val="0"/>
          <w:sz w:val="24"/>
          <w:szCs w:val="24"/>
        </w:rPr>
        <w:drawing>
          <wp:inline distT="0" distB="0" distL="0" distR="0" wp14:anchorId="13C3BC7C" wp14:editId="31C38D2B">
            <wp:extent cx="5172075" cy="2916476"/>
            <wp:effectExtent l="0" t="0" r="0" b="0"/>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832" cy="2921978"/>
                    </a:xfrm>
                    <a:prstGeom prst="rect">
                      <a:avLst/>
                    </a:prstGeom>
                    <a:noFill/>
                    <a:ln>
                      <a:noFill/>
                    </a:ln>
                  </pic:spPr>
                </pic:pic>
              </a:graphicData>
            </a:graphic>
          </wp:inline>
        </w:drawing>
      </w:r>
      <w:r w:rsidRPr="00562037">
        <w:rPr>
          <w:rFonts w:ascii="宋体" w:eastAsia="宋体" w:hAnsi="宋体" w:cs="宋体"/>
          <w:noProof/>
          <w:kern w:val="0"/>
          <w:sz w:val="24"/>
          <w:szCs w:val="24"/>
        </w:rPr>
        <w:drawing>
          <wp:inline distT="0" distB="0" distL="0" distR="0" wp14:anchorId="57229AAB" wp14:editId="2581B48C">
            <wp:extent cx="5253657" cy="2952750"/>
            <wp:effectExtent l="0" t="0" r="4445" b="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032" cy="2965326"/>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上海市老年教育工作小组办公室常务副主任李学红带来了《老年教育形势与政策分析》。社区是社会治理的基本单元，社区治理事关党和国家大政方针的贯彻落实，事关居民群众切身利益与基层的和谐稳定。李主任从上海老年教育面临的形势、上海老年教育发展的目标指向、当前几项重点工作的实施情况等几方面，深入浅出地阐述了他的思考。他指出，在时代的数字化大变革中，</w:t>
      </w:r>
      <w:r w:rsidRPr="00562037">
        <w:rPr>
          <w:rFonts w:ascii="宋体" w:eastAsia="宋体" w:hAnsi="宋体" w:cs="宋体"/>
          <w:kern w:val="0"/>
          <w:sz w:val="24"/>
          <w:szCs w:val="24"/>
        </w:rPr>
        <w:lastRenderedPageBreak/>
        <w:t>老年人面临“数字鸿沟”。要通过深入推进“三类学习点”建设、分步实施老年大学倍增计划、持续推进数字赋能工作、扎实培育老年教育学习品牌，针对超大城市人口深度老龄化的趋势和特点，全面提升老年教育服务能力，彰显新时代高品质的老年教育水平，进一步提升老年人学习的获得感和幸福感，形成具有上海特色的老年教育发展新模式。</w:t>
      </w:r>
    </w:p>
    <w:p w:rsidR="00562037" w:rsidRPr="00562037" w:rsidRDefault="00562037" w:rsidP="00562037">
      <w:pPr>
        <w:widowControl/>
        <w:jc w:val="left"/>
        <w:rPr>
          <w:rFonts w:ascii="宋体" w:eastAsia="宋体" w:hAnsi="宋体" w:cs="宋体"/>
          <w:kern w:val="0"/>
          <w:sz w:val="24"/>
          <w:szCs w:val="24"/>
        </w:rPr>
      </w:pPr>
      <w:r w:rsidRPr="00562037">
        <w:rPr>
          <w:rFonts w:ascii="宋体" w:eastAsia="宋体" w:hAnsi="宋体" w:cs="宋体"/>
          <w:noProof/>
          <w:kern w:val="0"/>
          <w:sz w:val="24"/>
          <w:szCs w:val="24"/>
        </w:rPr>
        <w:drawing>
          <wp:inline distT="0" distB="0" distL="0" distR="0" wp14:anchorId="659476BF" wp14:editId="7C0041E3">
            <wp:extent cx="5257800" cy="2955078"/>
            <wp:effectExtent l="0" t="0" r="0" b="0"/>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8368" cy="2961018"/>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上海开放大学名师、上海开放大学航空运输学院、长宁区社区学院教授宋亦芳和大家分享了关于《数字赋能——社区学习方式的重构与思考》的感悟。宋教授从数字化时代的到来讲起，为更好地应对数字化转型，他从OMO模式学习、数字场景学习、虚实融合学习三个方面分享了对社区学习方式重构的一些思考。他为大家介绍了OMO线上线下混合模式，这种线上线下无边界、无差别的模式引起了教育研究领域的广泛关注，积极探索把OMO的新理念引入到教育领域，并试图形成混合式学习的新模式。对于通过空间的改变来重构教师与学生的连接和交互方式的数字化场景学习，他提出，互联网时代的学习完全超出了教室的范围，数字场景必将具有广阔的发展空间。</w:t>
      </w:r>
    </w:p>
    <w:p w:rsidR="00562037" w:rsidRPr="00562037" w:rsidRDefault="00562037" w:rsidP="00562037">
      <w:pPr>
        <w:widowControl/>
        <w:jc w:val="left"/>
        <w:rPr>
          <w:rFonts w:ascii="宋体" w:eastAsia="宋体" w:hAnsi="宋体" w:cs="宋体"/>
          <w:kern w:val="0"/>
          <w:sz w:val="24"/>
          <w:szCs w:val="24"/>
        </w:rPr>
      </w:pPr>
      <w:r w:rsidRPr="00562037">
        <w:rPr>
          <w:rFonts w:ascii="宋体" w:eastAsia="宋体" w:hAnsi="宋体" w:cs="宋体"/>
          <w:noProof/>
          <w:kern w:val="0"/>
          <w:sz w:val="24"/>
          <w:szCs w:val="24"/>
        </w:rPr>
        <w:lastRenderedPageBreak/>
        <w:drawing>
          <wp:inline distT="0" distB="0" distL="0" distR="0" wp14:anchorId="0B9C7B6B" wp14:editId="18C6B260">
            <wp:extent cx="5253657" cy="2952750"/>
            <wp:effectExtent l="0" t="0" r="4445" b="0"/>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9332" cy="2955940"/>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新民晚报》首席记者王蔚带来了《社区教育者材料撰写的能力》的分享。王老师的讲座从当下的新媒体环境出发，结合社区基层工作的实际，和大家共同探讨了好文章是怎么样的、如何写出一篇好文章，包括：标题的确立、个性化的写作手法、写作的视角等具体方面；同时，运用了大量的实际案例，结合写作技巧进行讲解，形象生动的</w:t>
      </w:r>
      <w:proofErr w:type="gramStart"/>
      <w:r w:rsidRPr="00562037">
        <w:rPr>
          <w:rFonts w:ascii="宋体" w:eastAsia="宋体" w:hAnsi="宋体" w:cs="宋体"/>
          <w:kern w:val="0"/>
          <w:sz w:val="24"/>
          <w:szCs w:val="24"/>
        </w:rPr>
        <w:t>阐述让</w:t>
      </w:r>
      <w:proofErr w:type="gramEnd"/>
      <w:r w:rsidRPr="00562037">
        <w:rPr>
          <w:rFonts w:ascii="宋体" w:eastAsia="宋体" w:hAnsi="宋体" w:cs="宋体"/>
          <w:kern w:val="0"/>
          <w:sz w:val="24"/>
          <w:szCs w:val="24"/>
        </w:rPr>
        <w:t>在座学员收获了许多的启发。</w:t>
      </w:r>
    </w:p>
    <w:p w:rsidR="00562037" w:rsidRPr="00562037" w:rsidRDefault="00562037" w:rsidP="00562037">
      <w:pPr>
        <w:widowControl/>
        <w:jc w:val="left"/>
        <w:rPr>
          <w:rFonts w:ascii="宋体" w:eastAsia="宋体" w:hAnsi="宋体" w:cs="宋体"/>
          <w:kern w:val="0"/>
          <w:sz w:val="24"/>
          <w:szCs w:val="24"/>
        </w:rPr>
      </w:pPr>
      <w:r w:rsidRPr="00562037">
        <w:rPr>
          <w:rFonts w:ascii="宋体" w:eastAsia="宋体" w:hAnsi="宋体" w:cs="宋体"/>
          <w:noProof/>
          <w:kern w:val="0"/>
          <w:sz w:val="24"/>
          <w:szCs w:val="24"/>
        </w:rPr>
        <w:drawing>
          <wp:inline distT="0" distB="0" distL="0" distR="0" wp14:anchorId="0D377F48" wp14:editId="62CACDD4">
            <wp:extent cx="5353050" cy="3008612"/>
            <wp:effectExtent l="0" t="0" r="0" b="1905"/>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4454" cy="3015021"/>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上海开放大学公管学院邓彦龙教授为大家带来了《基层干部的沟通技巧与艺术》的讲座。沟通技巧对于基层干部来说是一项必不可少的技能，如何通过有效的沟通来提高工作效率、有效传递信息，是大家非常关心的话题。邓教授从理论知识入手，介绍了沟通的概念、沟通的过程、沟通的意义以及四种沟通</w:t>
      </w:r>
      <w:r w:rsidRPr="00562037">
        <w:rPr>
          <w:rFonts w:ascii="宋体" w:eastAsia="宋体" w:hAnsi="宋体" w:cs="宋体"/>
          <w:kern w:val="0"/>
          <w:sz w:val="24"/>
          <w:szCs w:val="24"/>
        </w:rPr>
        <w:lastRenderedPageBreak/>
        <w:t>风格和应对技巧。随后，他结合基层工作的特点，讲述了基层干部在工作中需要掌握的几种沟通艺术，让沟通可以成为实现组织目标的重要保证。</w:t>
      </w:r>
    </w:p>
    <w:p w:rsidR="00562037" w:rsidRPr="00562037" w:rsidRDefault="00562037" w:rsidP="00562037">
      <w:pPr>
        <w:widowControl/>
        <w:jc w:val="left"/>
        <w:rPr>
          <w:rFonts w:ascii="宋体" w:eastAsia="宋体" w:hAnsi="宋体" w:cs="宋体"/>
          <w:kern w:val="0"/>
          <w:sz w:val="24"/>
          <w:szCs w:val="24"/>
        </w:rPr>
      </w:pPr>
      <w:r w:rsidRPr="00562037">
        <w:rPr>
          <w:rFonts w:ascii="宋体" w:eastAsia="宋体" w:hAnsi="宋体" w:cs="宋体"/>
          <w:noProof/>
          <w:kern w:val="0"/>
          <w:sz w:val="24"/>
          <w:szCs w:val="24"/>
        </w:rPr>
        <w:drawing>
          <wp:inline distT="0" distB="0" distL="0" distR="0" wp14:anchorId="251AA49B" wp14:editId="7BA1CB68">
            <wp:extent cx="5257800" cy="2955078"/>
            <wp:effectExtent l="0" t="0" r="0" b="0"/>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1426" cy="2968357"/>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9月26日的培训邀请了虹口区社区学院教师陈颉带来《从行走到走心 打造特色人文行走路线》，她介绍了如何善用虹口红色文化、名人文化、先进文化等区域资源来赋能人文行走线路建设。通过“以实验项目为引领，抓好队伍建设”和“提升兴趣动力，破除学习障碍，创新学习方法”两个方法来优化人文行走资源，探索人文行走新路径。陈老师细致的讲解配上大量的视频资料，为现场的学员们带来了生动的学习体验。</w:t>
      </w:r>
    </w:p>
    <w:p w:rsidR="00562037" w:rsidRPr="00562037" w:rsidRDefault="00562037" w:rsidP="00562037">
      <w:pPr>
        <w:widowControl/>
        <w:jc w:val="left"/>
        <w:rPr>
          <w:rFonts w:ascii="宋体" w:eastAsia="宋体" w:hAnsi="宋体" w:cs="宋体"/>
          <w:kern w:val="0"/>
          <w:sz w:val="24"/>
          <w:szCs w:val="24"/>
        </w:rPr>
      </w:pPr>
      <w:r w:rsidRPr="00562037">
        <w:rPr>
          <w:rFonts w:ascii="宋体" w:eastAsia="宋体" w:hAnsi="宋体" w:cs="宋体"/>
          <w:noProof/>
          <w:kern w:val="0"/>
          <w:sz w:val="24"/>
          <w:szCs w:val="24"/>
        </w:rPr>
        <w:drawing>
          <wp:inline distT="0" distB="0" distL="0" distR="0" wp14:anchorId="0A2991AC" wp14:editId="45BBCCC7">
            <wp:extent cx="5276850" cy="2970670"/>
            <wp:effectExtent l="0" t="0" r="0" b="127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134" cy="2986593"/>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lastRenderedPageBreak/>
        <w:t>本次培训理论与实践并重，下午，学员们来到了黄浦江畔，切身实地进行人文行走。本次人文行走选取了三条特色线路，线路</w:t>
      </w:r>
      <w:proofErr w:type="gramStart"/>
      <w:r w:rsidRPr="00562037">
        <w:rPr>
          <w:rFonts w:ascii="宋体" w:eastAsia="宋体" w:hAnsi="宋体" w:cs="宋体"/>
          <w:kern w:val="0"/>
          <w:sz w:val="24"/>
          <w:szCs w:val="24"/>
        </w:rPr>
        <w:t>一</w:t>
      </w:r>
      <w:proofErr w:type="gramEnd"/>
      <w:r w:rsidRPr="00562037">
        <w:rPr>
          <w:rFonts w:ascii="宋体" w:eastAsia="宋体" w:hAnsi="宋体" w:cs="宋体"/>
          <w:kern w:val="0"/>
          <w:sz w:val="24"/>
          <w:szCs w:val="24"/>
        </w:rPr>
        <w:t>以北外滩国际客中心为起点，途径高阳路码头、世界会客厅等点位，最后在上海证券博物馆结束；线路二则是以上海证券博物馆为起点，行至河南路桥；路线三从虹口区新时代文明实践中心出发，到上海国际客运中心结束。学员们行走在这三条路线上，追寻着先辈们在黄浦江畔播下理想火种的进程，</w:t>
      </w:r>
      <w:proofErr w:type="gramStart"/>
      <w:r w:rsidRPr="00562037">
        <w:rPr>
          <w:rFonts w:ascii="宋体" w:eastAsia="宋体" w:hAnsi="宋体" w:cs="宋体"/>
          <w:kern w:val="0"/>
          <w:sz w:val="24"/>
          <w:szCs w:val="24"/>
        </w:rPr>
        <w:t>见证着</w:t>
      </w:r>
      <w:proofErr w:type="gramEnd"/>
      <w:r w:rsidRPr="00562037">
        <w:rPr>
          <w:rFonts w:ascii="宋体" w:eastAsia="宋体" w:hAnsi="宋体" w:cs="宋体"/>
          <w:kern w:val="0"/>
          <w:sz w:val="24"/>
          <w:szCs w:val="24"/>
        </w:rPr>
        <w:t>上海敢为人先的发展步伐，感受着一代</w:t>
      </w:r>
      <w:proofErr w:type="gramStart"/>
      <w:r w:rsidRPr="00562037">
        <w:rPr>
          <w:rFonts w:ascii="宋体" w:eastAsia="宋体" w:hAnsi="宋体" w:cs="宋体"/>
          <w:kern w:val="0"/>
          <w:sz w:val="24"/>
          <w:szCs w:val="24"/>
        </w:rPr>
        <w:t>代</w:t>
      </w:r>
      <w:proofErr w:type="gramEnd"/>
      <w:r w:rsidRPr="00562037">
        <w:rPr>
          <w:rFonts w:ascii="宋体" w:eastAsia="宋体" w:hAnsi="宋体" w:cs="宋体"/>
          <w:kern w:val="0"/>
          <w:sz w:val="24"/>
          <w:szCs w:val="24"/>
        </w:rPr>
        <w:t>中国人的强国梦想。</w:t>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jc w:val="center"/>
        <w:rPr>
          <w:rFonts w:ascii="宋体" w:eastAsia="宋体" w:hAnsi="宋体" w:cs="宋体"/>
          <w:kern w:val="0"/>
          <w:sz w:val="24"/>
          <w:szCs w:val="24"/>
        </w:rPr>
      </w:pPr>
      <w:r w:rsidRPr="00562037">
        <w:rPr>
          <w:rFonts w:ascii="宋体" w:eastAsia="宋体" w:hAnsi="宋体" w:cs="宋体"/>
          <w:noProof/>
          <w:kern w:val="0"/>
          <w:sz w:val="24"/>
          <w:szCs w:val="24"/>
        </w:rPr>
        <w:drawing>
          <wp:inline distT="0" distB="0" distL="0" distR="0" wp14:anchorId="77C63245" wp14:editId="171D975E">
            <wp:extent cx="4543800" cy="3409950"/>
            <wp:effectExtent l="0" t="0" r="9525" b="0"/>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527" cy="3411997"/>
                    </a:xfrm>
                    <a:prstGeom prst="rect">
                      <a:avLst/>
                    </a:prstGeom>
                    <a:noFill/>
                    <a:ln>
                      <a:noFill/>
                    </a:ln>
                  </pic:spPr>
                </pic:pic>
              </a:graphicData>
            </a:graphic>
          </wp:inline>
        </w:drawing>
      </w:r>
      <w:r w:rsidRPr="00562037">
        <w:rPr>
          <w:rFonts w:ascii="宋体" w:eastAsia="宋体" w:hAnsi="宋体" w:cs="宋体"/>
          <w:noProof/>
          <w:kern w:val="0"/>
          <w:sz w:val="24"/>
          <w:szCs w:val="24"/>
        </w:rPr>
        <w:drawing>
          <wp:inline distT="0" distB="0" distL="0" distR="0" wp14:anchorId="09838984" wp14:editId="6A9A07E6">
            <wp:extent cx="4597400" cy="3448050"/>
            <wp:effectExtent l="0" t="0" r="0" b="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8175" cy="3448631"/>
                    </a:xfrm>
                    <a:prstGeom prst="rect">
                      <a:avLst/>
                    </a:prstGeom>
                    <a:noFill/>
                    <a:ln>
                      <a:noFill/>
                    </a:ln>
                  </pic:spPr>
                </pic:pic>
              </a:graphicData>
            </a:graphic>
          </wp:inline>
        </w:drawing>
      </w:r>
      <w:r w:rsidRPr="00562037">
        <w:rPr>
          <w:rFonts w:ascii="宋体" w:eastAsia="宋体" w:hAnsi="宋体" w:cs="宋体"/>
          <w:noProof/>
          <w:kern w:val="0"/>
          <w:sz w:val="24"/>
          <w:szCs w:val="24"/>
        </w:rPr>
        <w:lastRenderedPageBreak/>
        <w:drawing>
          <wp:inline distT="0" distB="0" distL="0" distR="0" wp14:anchorId="163F3797" wp14:editId="6BA85370">
            <wp:extent cx="4610100" cy="3457575"/>
            <wp:effectExtent l="0" t="0" r="0" b="9525"/>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1597" cy="3458698"/>
                    </a:xfrm>
                    <a:prstGeom prst="rect">
                      <a:avLst/>
                    </a:prstGeom>
                    <a:noFill/>
                    <a:ln>
                      <a:noFill/>
                    </a:ln>
                  </pic:spPr>
                </pic:pic>
              </a:graphicData>
            </a:graphic>
          </wp:inline>
        </w:drawing>
      </w:r>
      <w:r w:rsidRPr="00562037">
        <w:rPr>
          <w:rFonts w:ascii="宋体" w:eastAsia="宋体" w:hAnsi="宋体" w:cs="宋体"/>
          <w:noProof/>
          <w:kern w:val="0"/>
          <w:sz w:val="24"/>
          <w:szCs w:val="24"/>
        </w:rPr>
        <w:drawing>
          <wp:inline distT="0" distB="0" distL="0" distR="0" wp14:anchorId="12445CE5" wp14:editId="14F7F15B">
            <wp:extent cx="4553485" cy="3419475"/>
            <wp:effectExtent l="0" t="0" r="0" b="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8832" cy="3423490"/>
                    </a:xfrm>
                    <a:prstGeom prst="rect">
                      <a:avLst/>
                    </a:prstGeom>
                    <a:noFill/>
                    <a:ln>
                      <a:noFill/>
                    </a:ln>
                  </pic:spPr>
                </pic:pic>
              </a:graphicData>
            </a:graphic>
          </wp:inline>
        </w:drawing>
      </w:r>
      <w:r w:rsidRPr="00562037">
        <w:rPr>
          <w:rFonts w:ascii="宋体" w:eastAsia="宋体" w:hAnsi="宋体" w:cs="宋体"/>
          <w:noProof/>
          <w:kern w:val="0"/>
          <w:sz w:val="24"/>
          <w:szCs w:val="24"/>
        </w:rPr>
        <w:lastRenderedPageBreak/>
        <w:drawing>
          <wp:inline distT="0" distB="0" distL="0" distR="0" wp14:anchorId="63AC8A24" wp14:editId="17246845">
            <wp:extent cx="4171950" cy="2771140"/>
            <wp:effectExtent l="0" t="0" r="0" b="0"/>
            <wp:docPr id="38"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544" cy="2790797"/>
                    </a:xfrm>
                    <a:prstGeom prst="rect">
                      <a:avLst/>
                    </a:prstGeom>
                    <a:noFill/>
                    <a:ln>
                      <a:noFill/>
                    </a:ln>
                  </pic:spPr>
                </pic:pic>
              </a:graphicData>
            </a:graphic>
          </wp:inline>
        </w:drawing>
      </w:r>
      <w:r w:rsidRPr="00562037">
        <w:rPr>
          <w:rFonts w:ascii="宋体" w:eastAsia="宋体" w:hAnsi="宋体" w:cs="宋体"/>
          <w:noProof/>
          <w:kern w:val="0"/>
          <w:sz w:val="24"/>
          <w:szCs w:val="24"/>
        </w:rPr>
        <w:drawing>
          <wp:inline distT="0" distB="0" distL="0" distR="0" wp14:anchorId="6D3C75D2" wp14:editId="4925D81A">
            <wp:extent cx="4851206" cy="3429000"/>
            <wp:effectExtent l="0" t="0" r="6985" b="0"/>
            <wp:docPr id="39"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5845" cy="3432279"/>
                    </a:xfrm>
                    <a:prstGeom prst="rect">
                      <a:avLst/>
                    </a:prstGeom>
                    <a:noFill/>
                    <a:ln>
                      <a:noFill/>
                    </a:ln>
                  </pic:spPr>
                </pic:pic>
              </a:graphicData>
            </a:graphic>
          </wp:inline>
        </w:drawing>
      </w:r>
    </w:p>
    <w:p w:rsidR="00562037" w:rsidRPr="00562037" w:rsidRDefault="00562037" w:rsidP="00562037">
      <w:pPr>
        <w:widowControl/>
        <w:jc w:val="left"/>
        <w:rPr>
          <w:rFonts w:ascii="宋体" w:eastAsia="宋体" w:hAnsi="宋体" w:cs="宋体"/>
          <w:kern w:val="0"/>
          <w:sz w:val="24"/>
          <w:szCs w:val="24"/>
        </w:rPr>
      </w:pPr>
    </w:p>
    <w:p w:rsidR="00562037" w:rsidRPr="00562037" w:rsidRDefault="00562037" w:rsidP="00562037">
      <w:pPr>
        <w:widowControl/>
        <w:ind w:firstLine="420"/>
        <w:jc w:val="left"/>
        <w:rPr>
          <w:rFonts w:ascii="宋体" w:eastAsia="宋体" w:hAnsi="宋体" w:cs="宋体"/>
          <w:kern w:val="0"/>
          <w:sz w:val="24"/>
          <w:szCs w:val="24"/>
        </w:rPr>
      </w:pPr>
      <w:r w:rsidRPr="00562037">
        <w:rPr>
          <w:rFonts w:ascii="宋体" w:eastAsia="宋体" w:hAnsi="宋体" w:cs="宋体"/>
          <w:kern w:val="0"/>
          <w:sz w:val="24"/>
          <w:szCs w:val="24"/>
        </w:rPr>
        <w:t>社区不仅是城市运营的毛细血管，也是居民日常生活的美好家园。本次培训聚焦社区治理、老年教育、数字化转型</w:t>
      </w:r>
      <w:proofErr w:type="gramStart"/>
      <w:r w:rsidRPr="00562037">
        <w:rPr>
          <w:rFonts w:ascii="宋体" w:eastAsia="宋体" w:hAnsi="宋体" w:cs="宋体"/>
          <w:kern w:val="0"/>
          <w:sz w:val="24"/>
          <w:szCs w:val="24"/>
        </w:rPr>
        <w:t>等热议领域</w:t>
      </w:r>
      <w:proofErr w:type="gramEnd"/>
      <w:r w:rsidRPr="00562037">
        <w:rPr>
          <w:rFonts w:ascii="宋体" w:eastAsia="宋体" w:hAnsi="宋体" w:cs="宋体"/>
          <w:kern w:val="0"/>
          <w:sz w:val="24"/>
          <w:szCs w:val="24"/>
        </w:rPr>
        <w:t>，旨在帮助进一步提升社区教育居委学习点管理干部的业务水平和管理能力，</w:t>
      </w:r>
      <w:proofErr w:type="gramStart"/>
      <w:r w:rsidRPr="00562037">
        <w:rPr>
          <w:rFonts w:ascii="宋体" w:eastAsia="宋体" w:hAnsi="宋体" w:cs="宋体"/>
          <w:kern w:val="0"/>
          <w:sz w:val="24"/>
          <w:szCs w:val="24"/>
        </w:rPr>
        <w:t>让居委</w:t>
      </w:r>
      <w:proofErr w:type="gramEnd"/>
      <w:r w:rsidRPr="00562037">
        <w:rPr>
          <w:rFonts w:ascii="宋体" w:eastAsia="宋体" w:hAnsi="宋体" w:cs="宋体"/>
          <w:kern w:val="0"/>
          <w:sz w:val="24"/>
          <w:szCs w:val="24"/>
        </w:rPr>
        <w:t>学习点成为能够进一步提升社区学习氛围、增强社区凝聚力、满足居民多元文化需求的加油站。希望学员们通过此次培训，能够进一步提升工作技巧和管理能力、明确责任和担当，服务好社区居民生活的“最后一公里”。</w:t>
      </w:r>
    </w:p>
    <w:p w:rsidR="00562037" w:rsidRPr="00562037" w:rsidRDefault="00562037">
      <w:pPr>
        <w:rPr>
          <w:rFonts w:hint="eastAsia"/>
        </w:rPr>
      </w:pPr>
    </w:p>
    <w:sectPr w:rsidR="00562037" w:rsidRPr="0056203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037"/>
    <w:rsid w:val="0047599F"/>
    <w:rsid w:val="00562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6C69D"/>
  <w15:chartTrackingRefBased/>
  <w15:docId w15:val="{8099B814-6B69-4989-8C9A-98EC83A8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35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270</Words>
  <Characters>1543</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1</cp:revision>
  <dcterms:created xsi:type="dcterms:W3CDTF">2023-11-02T01:25:00Z</dcterms:created>
  <dcterms:modified xsi:type="dcterms:W3CDTF">2023-11-02T01:28:00Z</dcterms:modified>
</cp:coreProperties>
</file>