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406" w:rsidRPr="008B7DFF" w:rsidRDefault="008B7DFF" w:rsidP="008B7DFF">
      <w:pPr>
        <w:jc w:val="center"/>
        <w:rPr>
          <w:rFonts w:ascii="宋体" w:eastAsia="宋体" w:hAnsi="宋体"/>
          <w:sz w:val="30"/>
          <w:szCs w:val="30"/>
        </w:rPr>
      </w:pPr>
      <w:bookmarkStart w:id="0" w:name="_GoBack"/>
      <w:r w:rsidRPr="008B7DFF">
        <w:rPr>
          <w:rFonts w:ascii="宋体" w:eastAsia="宋体" w:hAnsi="宋体"/>
          <w:sz w:val="30"/>
          <w:szCs w:val="30"/>
        </w:rPr>
        <w:t>2023年静安区社区教育专兼职教师培训顺利举行</w:t>
      </w:r>
    </w:p>
    <w:bookmarkEnd w:id="0"/>
    <w:p w:rsidR="008B7DFF" w:rsidRDefault="008B7DFF"/>
    <w:p w:rsidR="008B7DFF" w:rsidRPr="008B7DFF" w:rsidRDefault="008B7DFF" w:rsidP="003015BF">
      <w:pPr>
        <w:widowControl/>
        <w:ind w:firstLine="420"/>
        <w:jc w:val="left"/>
        <w:rPr>
          <w:rFonts w:ascii="宋体" w:eastAsia="宋体" w:hAnsi="宋体" w:cs="宋体"/>
          <w:kern w:val="0"/>
          <w:sz w:val="24"/>
          <w:szCs w:val="24"/>
        </w:rPr>
      </w:pPr>
      <w:r w:rsidRPr="008B7DFF">
        <w:rPr>
          <w:rFonts w:ascii="宋体" w:eastAsia="宋体" w:hAnsi="宋体" w:cs="宋体"/>
          <w:kern w:val="0"/>
          <w:sz w:val="24"/>
          <w:szCs w:val="24"/>
        </w:rPr>
        <w:t>为准确把握新时代上海社区教育教师队伍建设的形势任务，提升静安社区教育专兼职教师的教育教学能力，加强静安社区教育人才队伍建设，以适应新时代对社区教育、老年教育及终身教育的挑战，10月13日及10月20日，2023年静安区社区教育专兼职教师培训在静安社区学院顺利举行。本次培训采取现场培训和在线同步直播相结合的方式进行，来自区社区学院、14个街镇社区学校、三类学习点、区老年大学累计超210名专兼职教师参与本次培训。</w:t>
      </w:r>
    </w:p>
    <w:p w:rsidR="008B7DFF" w:rsidRPr="008B7DFF" w:rsidRDefault="008B7DFF" w:rsidP="008B7DFF">
      <w:pPr>
        <w:widowControl/>
        <w:jc w:val="left"/>
        <w:rPr>
          <w:rFonts w:ascii="宋体" w:eastAsia="宋体" w:hAnsi="宋体" w:cs="宋体"/>
          <w:kern w:val="0"/>
          <w:sz w:val="24"/>
          <w:szCs w:val="24"/>
        </w:rPr>
      </w:pPr>
    </w:p>
    <w:p w:rsidR="008B7DFF" w:rsidRPr="008B7DFF" w:rsidRDefault="008B7DFF" w:rsidP="003015BF">
      <w:pPr>
        <w:widowControl/>
        <w:ind w:firstLine="420"/>
        <w:jc w:val="left"/>
        <w:rPr>
          <w:rFonts w:ascii="宋体" w:eastAsia="宋体" w:hAnsi="宋体" w:cs="宋体"/>
          <w:kern w:val="0"/>
          <w:sz w:val="24"/>
          <w:szCs w:val="24"/>
        </w:rPr>
      </w:pPr>
      <w:r w:rsidRPr="008B7DFF">
        <w:rPr>
          <w:rFonts w:ascii="宋体" w:eastAsia="宋体" w:hAnsi="宋体" w:cs="宋体"/>
          <w:kern w:val="0"/>
          <w:sz w:val="24"/>
          <w:szCs w:val="24"/>
        </w:rPr>
        <w:t>静安社区学院院长蒋中华、社区教育部主任杨玉明出席了本次培训的开班仪式，开班仪式由静安社区学院林轶蓉老师主持。静安社区学院院长蒋中华做开班动员，他指出，社区教育专兼职教师队伍是建设服务全民终身学习的学习型社会、学习型大国的重要力量。他对本次培训提出了三点要求：一是要提高思想站位，以高质量的社区教育助力学习型城区的建设；二是要提升数字素养，自觉</w:t>
      </w:r>
      <w:proofErr w:type="gramStart"/>
      <w:r w:rsidRPr="008B7DFF">
        <w:rPr>
          <w:rFonts w:ascii="宋体" w:eastAsia="宋体" w:hAnsi="宋体" w:cs="宋体"/>
          <w:kern w:val="0"/>
          <w:sz w:val="24"/>
          <w:szCs w:val="24"/>
        </w:rPr>
        <w:t>践行</w:t>
      </w:r>
      <w:proofErr w:type="gramEnd"/>
      <w:r w:rsidRPr="008B7DFF">
        <w:rPr>
          <w:rFonts w:ascii="宋体" w:eastAsia="宋体" w:hAnsi="宋体" w:cs="宋体"/>
          <w:kern w:val="0"/>
          <w:sz w:val="24"/>
          <w:szCs w:val="24"/>
        </w:rPr>
        <w:t>终身学习理念，不断提升教师自身的数字化素养；三是要注重内涵建设，积极探索服务全民终身学习的新路径，为不同的人群供给更丰富的社区教育课程。</w:t>
      </w:r>
    </w:p>
    <w:p w:rsidR="008B7DFF" w:rsidRPr="008B7DFF" w:rsidRDefault="008B7DFF" w:rsidP="003015BF">
      <w:pPr>
        <w:widowControl/>
        <w:jc w:val="right"/>
        <w:rPr>
          <w:rFonts w:ascii="宋体" w:eastAsia="宋体" w:hAnsi="宋体" w:cs="宋体"/>
          <w:kern w:val="0"/>
          <w:sz w:val="24"/>
          <w:szCs w:val="24"/>
        </w:rPr>
      </w:pPr>
      <w:r w:rsidRPr="008B7DFF">
        <w:rPr>
          <w:rFonts w:ascii="宋体" w:eastAsia="宋体" w:hAnsi="宋体" w:cs="宋体"/>
          <w:noProof/>
          <w:kern w:val="0"/>
          <w:sz w:val="24"/>
          <w:szCs w:val="24"/>
        </w:rPr>
        <w:lastRenderedPageBreak/>
        <w:drawing>
          <wp:inline distT="0" distB="0" distL="0" distR="0" wp14:anchorId="6B2C94E2" wp14:editId="1F4480F6">
            <wp:extent cx="4606539" cy="2590800"/>
            <wp:effectExtent l="0" t="0" r="381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17071" cy="2596724"/>
                    </a:xfrm>
                    <a:prstGeom prst="rect">
                      <a:avLst/>
                    </a:prstGeom>
                    <a:noFill/>
                    <a:ln>
                      <a:noFill/>
                    </a:ln>
                  </pic:spPr>
                </pic:pic>
              </a:graphicData>
            </a:graphic>
          </wp:inline>
        </w:drawing>
      </w:r>
      <w:r w:rsidRPr="008B7DFF">
        <w:rPr>
          <w:rFonts w:ascii="宋体" w:eastAsia="宋体" w:hAnsi="宋体" w:cs="宋体"/>
          <w:noProof/>
          <w:kern w:val="0"/>
          <w:sz w:val="24"/>
          <w:szCs w:val="24"/>
        </w:rPr>
        <w:drawing>
          <wp:inline distT="0" distB="0" distL="0" distR="0" wp14:anchorId="28588AB4" wp14:editId="713038A3">
            <wp:extent cx="4568773" cy="3914775"/>
            <wp:effectExtent l="0" t="0" r="381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8577" cy="3923176"/>
                    </a:xfrm>
                    <a:prstGeom prst="rect">
                      <a:avLst/>
                    </a:prstGeom>
                    <a:noFill/>
                    <a:ln>
                      <a:noFill/>
                    </a:ln>
                  </pic:spPr>
                </pic:pic>
              </a:graphicData>
            </a:graphic>
          </wp:inline>
        </w:drawing>
      </w:r>
    </w:p>
    <w:p w:rsidR="008B7DFF" w:rsidRPr="008B7DFF" w:rsidRDefault="008B7DFF" w:rsidP="003015BF">
      <w:pPr>
        <w:widowControl/>
        <w:ind w:firstLine="420"/>
        <w:rPr>
          <w:rFonts w:ascii="宋体" w:eastAsia="宋体" w:hAnsi="宋体" w:cs="宋体"/>
          <w:kern w:val="0"/>
          <w:sz w:val="24"/>
          <w:szCs w:val="24"/>
        </w:rPr>
      </w:pPr>
      <w:r w:rsidRPr="008B7DFF">
        <w:rPr>
          <w:rFonts w:ascii="宋体" w:eastAsia="宋体" w:hAnsi="宋体" w:cs="宋体"/>
          <w:kern w:val="0"/>
          <w:sz w:val="24"/>
          <w:szCs w:val="24"/>
        </w:rPr>
        <w:t>本次培训邀请了五位社区教育领域的专家做专题讲座。10月13日，共开展四场主题培训。第一场专题培训中，上海市老年教育工作小组办主任夏瑛以“积极老龄化背景下的老年教育高质量发展”主题，从形势任务、基本情况、重点工作三个方面阐述了在积极老龄化背景下老年教育高质量发展的形势任务和工作要求。在形势任务上，发展老年教育，对于实现积极老龄化、健康老龄化，推动城市经济社会的快速发展，具有现实意义和深远的历史意义。就基本情况而言，上海老年教育已经</w:t>
      </w:r>
      <w:proofErr w:type="gramStart"/>
      <w:r w:rsidRPr="008B7DFF">
        <w:rPr>
          <w:rFonts w:ascii="宋体" w:eastAsia="宋体" w:hAnsi="宋体" w:cs="宋体"/>
          <w:kern w:val="0"/>
          <w:sz w:val="24"/>
          <w:szCs w:val="24"/>
        </w:rPr>
        <w:t>彰</w:t>
      </w:r>
      <w:proofErr w:type="gramEnd"/>
      <w:r w:rsidRPr="008B7DFF">
        <w:rPr>
          <w:rFonts w:ascii="宋体" w:eastAsia="宋体" w:hAnsi="宋体" w:cs="宋体"/>
          <w:kern w:val="0"/>
          <w:sz w:val="24"/>
          <w:szCs w:val="24"/>
        </w:rPr>
        <w:t>显出学校教育、远程教育、社会教育紧密结合的特点，形成了覆盖全市、层次清晰、融合开放的老年教育办学与学习规模。重点工作方面，提出了学习空间重构、师资能力提升、课程资源建设、协同推进机制四项重点工作的路径与策略。她表示，当老龄社会遇上智能时代，老年人的学习愿望、学习</w:t>
      </w:r>
      <w:r w:rsidRPr="008B7DFF">
        <w:rPr>
          <w:rFonts w:ascii="宋体" w:eastAsia="宋体" w:hAnsi="宋体" w:cs="宋体"/>
          <w:kern w:val="0"/>
          <w:sz w:val="24"/>
          <w:szCs w:val="24"/>
        </w:rPr>
        <w:lastRenderedPageBreak/>
        <w:t>方式、学习内容、学习途径也将发生重大改变，在未来，虚拟和实体的界限将变得模糊，教育数字化尤为重要，要创设有温度的数字教育环境，加强教师智慧教育能力建设，推动老年教育高质量发展。</w:t>
      </w:r>
    </w:p>
    <w:p w:rsidR="008B7DFF" w:rsidRPr="008B7DFF" w:rsidRDefault="008B7DFF" w:rsidP="003015BF">
      <w:pPr>
        <w:widowControl/>
        <w:rPr>
          <w:rFonts w:ascii="宋体" w:eastAsia="宋体" w:hAnsi="宋体" w:cs="宋体"/>
          <w:kern w:val="0"/>
          <w:sz w:val="24"/>
          <w:szCs w:val="24"/>
        </w:rPr>
      </w:pPr>
      <w:r w:rsidRPr="008B7DFF">
        <w:rPr>
          <w:rFonts w:ascii="宋体" w:eastAsia="宋体" w:hAnsi="宋体" w:cs="宋体"/>
          <w:noProof/>
          <w:kern w:val="0"/>
          <w:sz w:val="24"/>
          <w:szCs w:val="24"/>
        </w:rPr>
        <w:drawing>
          <wp:inline distT="0" distB="0" distL="0" distR="0" wp14:anchorId="67CDE4BE" wp14:editId="1EAADD6E">
            <wp:extent cx="5560562" cy="3124200"/>
            <wp:effectExtent l="0" t="0" r="254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3406" cy="3131416"/>
                    </a:xfrm>
                    <a:prstGeom prst="rect">
                      <a:avLst/>
                    </a:prstGeom>
                    <a:noFill/>
                    <a:ln>
                      <a:noFill/>
                    </a:ln>
                  </pic:spPr>
                </pic:pic>
              </a:graphicData>
            </a:graphic>
          </wp:inline>
        </w:drawing>
      </w:r>
      <w:r w:rsidRPr="008B7DFF">
        <w:rPr>
          <w:rFonts w:ascii="宋体" w:eastAsia="宋体" w:hAnsi="宋体" w:cs="宋体"/>
          <w:noProof/>
          <w:kern w:val="0"/>
          <w:sz w:val="24"/>
          <w:szCs w:val="24"/>
        </w:rPr>
        <w:drawing>
          <wp:inline distT="0" distB="0" distL="0" distR="0" wp14:anchorId="60CD468E" wp14:editId="682CEA5B">
            <wp:extent cx="5467350" cy="3072613"/>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9770" cy="3085213"/>
                    </a:xfrm>
                    <a:prstGeom prst="rect">
                      <a:avLst/>
                    </a:prstGeom>
                    <a:noFill/>
                    <a:ln>
                      <a:noFill/>
                    </a:ln>
                  </pic:spPr>
                </pic:pic>
              </a:graphicData>
            </a:graphic>
          </wp:inline>
        </w:drawing>
      </w:r>
    </w:p>
    <w:p w:rsidR="008B7DFF" w:rsidRPr="008B7DFF" w:rsidRDefault="008B7DFF" w:rsidP="003015BF">
      <w:pPr>
        <w:widowControl/>
        <w:ind w:firstLine="420"/>
        <w:rPr>
          <w:rFonts w:ascii="宋体" w:eastAsia="宋体" w:hAnsi="宋体" w:cs="宋体"/>
          <w:kern w:val="0"/>
          <w:sz w:val="24"/>
          <w:szCs w:val="24"/>
        </w:rPr>
      </w:pPr>
      <w:r w:rsidRPr="008B7DFF">
        <w:rPr>
          <w:rFonts w:ascii="宋体" w:eastAsia="宋体" w:hAnsi="宋体" w:cs="宋体"/>
          <w:kern w:val="0"/>
          <w:sz w:val="24"/>
          <w:szCs w:val="24"/>
        </w:rPr>
        <w:t>第二场培训，长宁区社区学院社区教育指导中心主任张华亮以“社区老年教育数字化教学的实践与思考”为主题，从数字化教学的内涵、优势、教学准备、教学实施详细讲解了数字化教学如何从前期备课顺利走向现场教学实践的完整流程。他提出，数字化教学授课内容应简单化、精细化、分段式，同时上课过程中还需注重互动，即时了解实效并随时调整教学节奏。</w:t>
      </w:r>
    </w:p>
    <w:p w:rsidR="008B7DFF" w:rsidRPr="008B7DFF" w:rsidRDefault="008B7DFF" w:rsidP="003015BF">
      <w:pPr>
        <w:widowControl/>
        <w:jc w:val="center"/>
        <w:rPr>
          <w:rFonts w:ascii="宋体" w:eastAsia="宋体" w:hAnsi="宋体" w:cs="宋体"/>
          <w:kern w:val="0"/>
          <w:sz w:val="24"/>
          <w:szCs w:val="24"/>
        </w:rPr>
      </w:pPr>
      <w:r w:rsidRPr="008B7DFF">
        <w:rPr>
          <w:rFonts w:ascii="宋体" w:eastAsia="宋体" w:hAnsi="宋体" w:cs="宋体"/>
          <w:noProof/>
          <w:kern w:val="0"/>
          <w:sz w:val="24"/>
          <w:szCs w:val="24"/>
        </w:rPr>
        <w:lastRenderedPageBreak/>
        <w:drawing>
          <wp:inline distT="0" distB="0" distL="0" distR="0" wp14:anchorId="3E18A741" wp14:editId="175CB7C1">
            <wp:extent cx="5407937" cy="3048000"/>
            <wp:effectExtent l="0" t="0" r="254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6139" cy="3052623"/>
                    </a:xfrm>
                    <a:prstGeom prst="rect">
                      <a:avLst/>
                    </a:prstGeom>
                    <a:noFill/>
                    <a:ln>
                      <a:noFill/>
                    </a:ln>
                  </pic:spPr>
                </pic:pic>
              </a:graphicData>
            </a:graphic>
          </wp:inline>
        </w:drawing>
      </w:r>
      <w:r w:rsidRPr="008B7DFF">
        <w:rPr>
          <w:rFonts w:ascii="宋体" w:eastAsia="宋体" w:hAnsi="宋体" w:cs="宋体"/>
          <w:noProof/>
          <w:kern w:val="0"/>
          <w:sz w:val="24"/>
          <w:szCs w:val="24"/>
        </w:rPr>
        <w:drawing>
          <wp:inline distT="0" distB="0" distL="0" distR="0" wp14:anchorId="52D53125" wp14:editId="4D15F78D">
            <wp:extent cx="5419725" cy="305092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6465" cy="3065973"/>
                    </a:xfrm>
                    <a:prstGeom prst="rect">
                      <a:avLst/>
                    </a:prstGeom>
                    <a:noFill/>
                    <a:ln>
                      <a:noFill/>
                    </a:ln>
                  </pic:spPr>
                </pic:pic>
              </a:graphicData>
            </a:graphic>
          </wp:inline>
        </w:drawing>
      </w:r>
    </w:p>
    <w:p w:rsidR="008B7DFF" w:rsidRPr="008B7DFF" w:rsidRDefault="008B7DFF" w:rsidP="003015BF">
      <w:pPr>
        <w:widowControl/>
        <w:ind w:firstLine="420"/>
        <w:jc w:val="left"/>
        <w:rPr>
          <w:rFonts w:ascii="宋体" w:eastAsia="宋体" w:hAnsi="宋体" w:cs="宋体"/>
          <w:kern w:val="0"/>
          <w:sz w:val="24"/>
          <w:szCs w:val="24"/>
        </w:rPr>
      </w:pPr>
      <w:r w:rsidRPr="008B7DFF">
        <w:rPr>
          <w:rFonts w:ascii="宋体" w:eastAsia="宋体" w:hAnsi="宋体" w:cs="宋体"/>
          <w:kern w:val="0"/>
          <w:sz w:val="24"/>
          <w:szCs w:val="24"/>
        </w:rPr>
        <w:t>第三场培训，上海市学习型社会建设服务指导中心办公室的王国强老师结合社区教育教学评比的介绍以及优秀教学案例的分析，为教师们带来了丰富的教学策略建议。他指出，教师应聚焦教学内容，做到融会贯通，在教学过程中可以先借助学生所熟知的知识或事物，再引出新的概念或理解，通过激活旧知</w:t>
      </w:r>
      <w:proofErr w:type="gramStart"/>
      <w:r w:rsidRPr="008B7DFF">
        <w:rPr>
          <w:rFonts w:ascii="宋体" w:eastAsia="宋体" w:hAnsi="宋体" w:cs="宋体"/>
          <w:kern w:val="0"/>
          <w:sz w:val="24"/>
          <w:szCs w:val="24"/>
        </w:rPr>
        <w:t>以示证新知</w:t>
      </w:r>
      <w:proofErr w:type="gramEnd"/>
      <w:r w:rsidRPr="008B7DFF">
        <w:rPr>
          <w:rFonts w:ascii="宋体" w:eastAsia="宋体" w:hAnsi="宋体" w:cs="宋体"/>
          <w:kern w:val="0"/>
          <w:sz w:val="24"/>
          <w:szCs w:val="24"/>
        </w:rPr>
        <w:t>，便于学生快速掌握新的知识点。</w:t>
      </w:r>
    </w:p>
    <w:p w:rsidR="008B7DFF" w:rsidRPr="008B7DFF" w:rsidRDefault="008B7DFF" w:rsidP="008B7DFF">
      <w:pPr>
        <w:widowControl/>
        <w:jc w:val="left"/>
        <w:rPr>
          <w:rFonts w:ascii="宋体" w:eastAsia="宋体" w:hAnsi="宋体" w:cs="宋体"/>
          <w:kern w:val="0"/>
          <w:sz w:val="24"/>
          <w:szCs w:val="24"/>
        </w:rPr>
      </w:pPr>
      <w:r w:rsidRPr="008B7DFF">
        <w:rPr>
          <w:rFonts w:ascii="宋体" w:eastAsia="宋体" w:hAnsi="宋体" w:cs="宋体"/>
          <w:noProof/>
          <w:kern w:val="0"/>
          <w:sz w:val="24"/>
          <w:szCs w:val="24"/>
        </w:rPr>
        <w:lastRenderedPageBreak/>
        <w:drawing>
          <wp:inline distT="0" distB="0" distL="0" distR="0" wp14:anchorId="57CB2BB0" wp14:editId="641F9853">
            <wp:extent cx="5194258" cy="2924175"/>
            <wp:effectExtent l="0" t="0" r="6985"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0454" cy="2933293"/>
                    </a:xfrm>
                    <a:prstGeom prst="rect">
                      <a:avLst/>
                    </a:prstGeom>
                    <a:noFill/>
                    <a:ln>
                      <a:noFill/>
                    </a:ln>
                  </pic:spPr>
                </pic:pic>
              </a:graphicData>
            </a:graphic>
          </wp:inline>
        </w:drawing>
      </w:r>
      <w:r w:rsidRPr="008B7DFF">
        <w:rPr>
          <w:rFonts w:ascii="宋体" w:eastAsia="宋体" w:hAnsi="宋体" w:cs="宋体"/>
          <w:noProof/>
          <w:kern w:val="0"/>
          <w:sz w:val="24"/>
          <w:szCs w:val="24"/>
        </w:rPr>
        <w:drawing>
          <wp:inline distT="0" distB="0" distL="0" distR="0" wp14:anchorId="2857D136" wp14:editId="42A22233">
            <wp:extent cx="5194258" cy="2924175"/>
            <wp:effectExtent l="0" t="0" r="6985"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1361" cy="2933803"/>
                    </a:xfrm>
                    <a:prstGeom prst="rect">
                      <a:avLst/>
                    </a:prstGeom>
                    <a:noFill/>
                    <a:ln>
                      <a:noFill/>
                    </a:ln>
                  </pic:spPr>
                </pic:pic>
              </a:graphicData>
            </a:graphic>
          </wp:inline>
        </w:drawing>
      </w:r>
    </w:p>
    <w:p w:rsidR="008B7DFF" w:rsidRPr="008B7DFF" w:rsidRDefault="008B7DFF" w:rsidP="003015BF">
      <w:pPr>
        <w:widowControl/>
        <w:ind w:firstLine="420"/>
        <w:jc w:val="left"/>
        <w:rPr>
          <w:rFonts w:ascii="宋体" w:eastAsia="宋体" w:hAnsi="宋体" w:cs="宋体"/>
          <w:kern w:val="0"/>
          <w:sz w:val="24"/>
          <w:szCs w:val="24"/>
        </w:rPr>
      </w:pPr>
      <w:r w:rsidRPr="008B7DFF">
        <w:rPr>
          <w:rFonts w:ascii="宋体" w:eastAsia="宋体" w:hAnsi="宋体" w:cs="宋体"/>
          <w:kern w:val="0"/>
          <w:sz w:val="24"/>
          <w:szCs w:val="24"/>
        </w:rPr>
        <w:t>第四场培训，普陀区社区学院社区教育部主任余江涛通过“社区教育精品课程案例分享：《手机美图》课程建设思考”主题培训，从需求分析、主题确定、内容筛选、结构规划、教学方法设计深入浅出地讲解了课程开发的全过程。</w:t>
      </w:r>
    </w:p>
    <w:p w:rsidR="008B7DFF" w:rsidRPr="008B7DFF" w:rsidRDefault="008B7DFF" w:rsidP="008B7DFF">
      <w:pPr>
        <w:widowControl/>
        <w:jc w:val="left"/>
        <w:rPr>
          <w:rFonts w:ascii="宋体" w:eastAsia="宋体" w:hAnsi="宋体" w:cs="宋体"/>
          <w:kern w:val="0"/>
          <w:sz w:val="24"/>
          <w:szCs w:val="24"/>
        </w:rPr>
      </w:pPr>
      <w:r w:rsidRPr="008B7DFF">
        <w:rPr>
          <w:rFonts w:ascii="宋体" w:eastAsia="宋体" w:hAnsi="宋体" w:cs="宋体"/>
          <w:noProof/>
          <w:kern w:val="0"/>
          <w:sz w:val="24"/>
          <w:szCs w:val="24"/>
        </w:rPr>
        <w:lastRenderedPageBreak/>
        <w:drawing>
          <wp:inline distT="0" distB="0" distL="0" distR="0" wp14:anchorId="4C01C907" wp14:editId="3CE50EE0">
            <wp:extent cx="5276850" cy="2960899"/>
            <wp:effectExtent l="0" t="0" r="0"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305" cy="2976305"/>
                    </a:xfrm>
                    <a:prstGeom prst="rect">
                      <a:avLst/>
                    </a:prstGeom>
                    <a:noFill/>
                    <a:ln>
                      <a:noFill/>
                    </a:ln>
                  </pic:spPr>
                </pic:pic>
              </a:graphicData>
            </a:graphic>
          </wp:inline>
        </w:drawing>
      </w:r>
      <w:r w:rsidRPr="008B7DFF">
        <w:rPr>
          <w:rFonts w:ascii="宋体" w:eastAsia="宋体" w:hAnsi="宋体" w:cs="宋体"/>
          <w:noProof/>
          <w:kern w:val="0"/>
          <w:sz w:val="24"/>
          <w:szCs w:val="24"/>
        </w:rPr>
        <w:drawing>
          <wp:inline distT="0" distB="0" distL="0" distR="0" wp14:anchorId="7B89E529" wp14:editId="4E1BBDB6">
            <wp:extent cx="5334000" cy="2992967"/>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9187" cy="3001489"/>
                    </a:xfrm>
                    <a:prstGeom prst="rect">
                      <a:avLst/>
                    </a:prstGeom>
                    <a:noFill/>
                    <a:ln>
                      <a:noFill/>
                    </a:ln>
                  </pic:spPr>
                </pic:pic>
              </a:graphicData>
            </a:graphic>
          </wp:inline>
        </w:drawing>
      </w:r>
    </w:p>
    <w:p w:rsidR="008B7DFF" w:rsidRPr="008B7DFF" w:rsidRDefault="008B7DFF" w:rsidP="008B7DFF">
      <w:pPr>
        <w:widowControl/>
        <w:jc w:val="left"/>
        <w:rPr>
          <w:rFonts w:ascii="宋体" w:eastAsia="宋体" w:hAnsi="宋体" w:cs="宋体"/>
          <w:kern w:val="0"/>
          <w:sz w:val="24"/>
          <w:szCs w:val="24"/>
        </w:rPr>
      </w:pPr>
    </w:p>
    <w:p w:rsidR="008B7DFF" w:rsidRPr="008B7DFF" w:rsidRDefault="008B7DFF" w:rsidP="008B7DFF">
      <w:pPr>
        <w:widowControl/>
        <w:jc w:val="left"/>
        <w:rPr>
          <w:rFonts w:ascii="宋体" w:eastAsia="宋体" w:hAnsi="宋体" w:cs="宋体"/>
          <w:kern w:val="0"/>
          <w:sz w:val="24"/>
          <w:szCs w:val="24"/>
        </w:rPr>
      </w:pPr>
    </w:p>
    <w:p w:rsidR="008B7DFF" w:rsidRPr="008B7DFF" w:rsidRDefault="008B7DFF" w:rsidP="008B7DFF">
      <w:pPr>
        <w:widowControl/>
        <w:jc w:val="left"/>
        <w:rPr>
          <w:rFonts w:ascii="宋体" w:eastAsia="宋体" w:hAnsi="宋体" w:cs="宋体"/>
          <w:kern w:val="0"/>
          <w:sz w:val="24"/>
          <w:szCs w:val="24"/>
        </w:rPr>
      </w:pPr>
    </w:p>
    <w:p w:rsidR="008B7DFF" w:rsidRPr="008B7DFF" w:rsidRDefault="008B7DFF" w:rsidP="003015BF">
      <w:pPr>
        <w:widowControl/>
        <w:ind w:firstLine="420"/>
        <w:jc w:val="left"/>
        <w:rPr>
          <w:rFonts w:ascii="宋体" w:eastAsia="宋体" w:hAnsi="宋体" w:cs="宋体"/>
          <w:kern w:val="0"/>
          <w:sz w:val="24"/>
          <w:szCs w:val="24"/>
        </w:rPr>
      </w:pPr>
      <w:r w:rsidRPr="008B7DFF">
        <w:rPr>
          <w:rFonts w:ascii="宋体" w:eastAsia="宋体" w:hAnsi="宋体" w:cs="宋体"/>
          <w:kern w:val="0"/>
          <w:sz w:val="24"/>
          <w:szCs w:val="24"/>
        </w:rPr>
        <w:t>10月20日上午，邀请了中国成人教育协会培训机构工作委员会“社区教育培训师”认证导师李丹围绕“社区教育活动组织与设计”，通过破冰活动、小组讨论等风趣灵活的教学方式，讲授了社区教育活动的组织方式。</w:t>
      </w:r>
    </w:p>
    <w:p w:rsidR="008B7DFF" w:rsidRPr="008B7DFF" w:rsidRDefault="008B7DFF" w:rsidP="008B7DFF">
      <w:pPr>
        <w:widowControl/>
        <w:jc w:val="left"/>
        <w:rPr>
          <w:rFonts w:ascii="宋体" w:eastAsia="宋体" w:hAnsi="宋体" w:cs="宋体"/>
          <w:kern w:val="0"/>
          <w:sz w:val="24"/>
          <w:szCs w:val="24"/>
        </w:rPr>
      </w:pPr>
      <w:r w:rsidRPr="008B7DFF">
        <w:rPr>
          <w:rFonts w:ascii="宋体" w:eastAsia="宋体" w:hAnsi="宋体" w:cs="宋体"/>
          <w:noProof/>
          <w:kern w:val="0"/>
          <w:sz w:val="24"/>
          <w:szCs w:val="24"/>
        </w:rPr>
        <w:lastRenderedPageBreak/>
        <w:drawing>
          <wp:inline distT="0" distB="0" distL="0" distR="0" wp14:anchorId="74294B01" wp14:editId="1749E44C">
            <wp:extent cx="5057542" cy="2842738"/>
            <wp:effectExtent l="0" t="0" r="0"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2268" cy="2851015"/>
                    </a:xfrm>
                    <a:prstGeom prst="rect">
                      <a:avLst/>
                    </a:prstGeom>
                    <a:noFill/>
                    <a:ln>
                      <a:noFill/>
                    </a:ln>
                  </pic:spPr>
                </pic:pic>
              </a:graphicData>
            </a:graphic>
          </wp:inline>
        </w:drawing>
      </w:r>
      <w:r w:rsidRPr="008B7DFF">
        <w:rPr>
          <w:rFonts w:ascii="宋体" w:eastAsia="宋体" w:hAnsi="宋体" w:cs="宋体"/>
          <w:noProof/>
          <w:kern w:val="0"/>
          <w:sz w:val="24"/>
          <w:szCs w:val="24"/>
        </w:rPr>
        <w:drawing>
          <wp:inline distT="0" distB="0" distL="0" distR="0" wp14:anchorId="6F2F61F7" wp14:editId="516DB9EA">
            <wp:extent cx="5000625" cy="2813749"/>
            <wp:effectExtent l="0" t="0" r="0" b="571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831" cy="2830182"/>
                    </a:xfrm>
                    <a:prstGeom prst="rect">
                      <a:avLst/>
                    </a:prstGeom>
                    <a:noFill/>
                    <a:ln>
                      <a:noFill/>
                    </a:ln>
                  </pic:spPr>
                </pic:pic>
              </a:graphicData>
            </a:graphic>
          </wp:inline>
        </w:drawing>
      </w:r>
    </w:p>
    <w:p w:rsidR="008B7DFF" w:rsidRPr="008B7DFF" w:rsidRDefault="008B7DFF" w:rsidP="003015BF">
      <w:pPr>
        <w:widowControl/>
        <w:ind w:firstLine="420"/>
        <w:jc w:val="left"/>
        <w:rPr>
          <w:rFonts w:ascii="宋体" w:eastAsia="宋体" w:hAnsi="宋体" w:cs="宋体"/>
          <w:kern w:val="0"/>
          <w:sz w:val="24"/>
          <w:szCs w:val="24"/>
        </w:rPr>
      </w:pPr>
      <w:r w:rsidRPr="008B7DFF">
        <w:rPr>
          <w:rFonts w:ascii="宋体" w:eastAsia="宋体" w:hAnsi="宋体" w:cs="宋体"/>
          <w:kern w:val="0"/>
          <w:sz w:val="24"/>
          <w:szCs w:val="24"/>
        </w:rPr>
        <w:t>10月20日下午，教师们前往浦东新区川沙新镇开展“古城新镇 求是启真”主题人文行走活动。在川沙新镇导学志愿者老师们的带领下，学员们先后走访学习了鹤鸣楼、川沙廊道与护城河、黄炎培故居、川沙古城墙公园等地区特色点位，感受内史第之深远，古城墙之隽永。在行走中品城市发展、润人文情怀，激发终身学习的创新活力。</w:t>
      </w:r>
    </w:p>
    <w:p w:rsidR="008B7DFF" w:rsidRPr="008B7DFF" w:rsidRDefault="008B7DFF" w:rsidP="008B7DFF">
      <w:pPr>
        <w:widowControl/>
        <w:jc w:val="left"/>
        <w:rPr>
          <w:rFonts w:ascii="宋体" w:eastAsia="宋体" w:hAnsi="宋体" w:cs="宋体"/>
          <w:kern w:val="0"/>
          <w:sz w:val="24"/>
          <w:szCs w:val="24"/>
        </w:rPr>
      </w:pPr>
      <w:r w:rsidRPr="008B7DFF">
        <w:rPr>
          <w:rFonts w:ascii="宋体" w:eastAsia="宋体" w:hAnsi="宋体" w:cs="宋体"/>
          <w:noProof/>
          <w:kern w:val="0"/>
          <w:sz w:val="24"/>
          <w:szCs w:val="24"/>
        </w:rPr>
        <w:lastRenderedPageBreak/>
        <w:drawing>
          <wp:inline distT="0" distB="0" distL="0" distR="0" wp14:anchorId="07CE43A2" wp14:editId="5F6BB9A7">
            <wp:extent cx="5228376" cy="2933700"/>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134" cy="2938053"/>
                    </a:xfrm>
                    <a:prstGeom prst="rect">
                      <a:avLst/>
                    </a:prstGeom>
                    <a:noFill/>
                    <a:ln>
                      <a:noFill/>
                    </a:ln>
                  </pic:spPr>
                </pic:pic>
              </a:graphicData>
            </a:graphic>
          </wp:inline>
        </w:drawing>
      </w:r>
      <w:r w:rsidRPr="008B7DFF">
        <w:rPr>
          <w:rFonts w:ascii="宋体" w:eastAsia="宋体" w:hAnsi="宋体" w:cs="宋体"/>
          <w:noProof/>
          <w:kern w:val="0"/>
          <w:sz w:val="24"/>
          <w:szCs w:val="24"/>
        </w:rPr>
        <w:drawing>
          <wp:inline distT="0" distB="0" distL="0" distR="0" wp14:anchorId="0F055DEB" wp14:editId="5118FC1B">
            <wp:extent cx="5200650" cy="2927773"/>
            <wp:effectExtent l="0" t="0" r="0" b="635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8602" cy="2937879"/>
                    </a:xfrm>
                    <a:prstGeom prst="rect">
                      <a:avLst/>
                    </a:prstGeom>
                    <a:noFill/>
                    <a:ln>
                      <a:noFill/>
                    </a:ln>
                  </pic:spPr>
                </pic:pic>
              </a:graphicData>
            </a:graphic>
          </wp:inline>
        </w:drawing>
      </w:r>
      <w:r w:rsidRPr="008B7DFF">
        <w:rPr>
          <w:rFonts w:ascii="宋体" w:eastAsia="宋体" w:hAnsi="宋体" w:cs="宋体"/>
          <w:noProof/>
          <w:kern w:val="0"/>
          <w:sz w:val="24"/>
          <w:szCs w:val="24"/>
        </w:rPr>
        <w:drawing>
          <wp:inline distT="0" distB="0" distL="0" distR="0" wp14:anchorId="5BF0BF76" wp14:editId="2989C009">
            <wp:extent cx="4943475" cy="2782993"/>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6810" cy="2796130"/>
                    </a:xfrm>
                    <a:prstGeom prst="rect">
                      <a:avLst/>
                    </a:prstGeom>
                    <a:noFill/>
                    <a:ln>
                      <a:noFill/>
                    </a:ln>
                  </pic:spPr>
                </pic:pic>
              </a:graphicData>
            </a:graphic>
          </wp:inline>
        </w:drawing>
      </w:r>
    </w:p>
    <w:p w:rsidR="008B7DFF" w:rsidRPr="008B7DFF" w:rsidRDefault="008B7DFF" w:rsidP="003015BF">
      <w:pPr>
        <w:widowControl/>
        <w:ind w:firstLine="420"/>
        <w:jc w:val="left"/>
        <w:rPr>
          <w:rFonts w:ascii="宋体" w:eastAsia="宋体" w:hAnsi="宋体" w:cs="宋体"/>
          <w:kern w:val="0"/>
          <w:sz w:val="24"/>
          <w:szCs w:val="24"/>
        </w:rPr>
      </w:pPr>
      <w:r w:rsidRPr="008B7DFF">
        <w:rPr>
          <w:rFonts w:ascii="宋体" w:eastAsia="宋体" w:hAnsi="宋体" w:cs="宋体"/>
          <w:kern w:val="0"/>
          <w:sz w:val="24"/>
          <w:szCs w:val="24"/>
        </w:rPr>
        <w:lastRenderedPageBreak/>
        <w:t>通过本次培训，专兼职教师进一步提高了思想站位、拓宽了思维视野、增强了能力素养，提升了教师价值感和使命感。教师们纷纷表示，在今后的工作中，将做终身教育的</w:t>
      </w:r>
      <w:proofErr w:type="gramStart"/>
      <w:r w:rsidRPr="008B7DFF">
        <w:rPr>
          <w:rFonts w:ascii="宋体" w:eastAsia="宋体" w:hAnsi="宋体" w:cs="宋体"/>
          <w:kern w:val="0"/>
          <w:sz w:val="24"/>
          <w:szCs w:val="24"/>
        </w:rPr>
        <w:t>践行</w:t>
      </w:r>
      <w:proofErr w:type="gramEnd"/>
      <w:r w:rsidRPr="008B7DFF">
        <w:rPr>
          <w:rFonts w:ascii="宋体" w:eastAsia="宋体" w:hAnsi="宋体" w:cs="宋体"/>
          <w:kern w:val="0"/>
          <w:sz w:val="24"/>
          <w:szCs w:val="24"/>
        </w:rPr>
        <w:t>者，拓展社区教育教学新样态，为静安社区教育添砖加瓦。</w:t>
      </w:r>
    </w:p>
    <w:p w:rsidR="008B7DFF" w:rsidRPr="008B7DFF" w:rsidRDefault="008B7DFF">
      <w:pPr>
        <w:rPr>
          <w:rFonts w:hint="eastAsia"/>
        </w:rPr>
      </w:pPr>
    </w:p>
    <w:sectPr w:rsidR="008B7DFF" w:rsidRPr="008B7DF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FF"/>
    <w:rsid w:val="003015BF"/>
    <w:rsid w:val="008B7DFF"/>
    <w:rsid w:val="00F334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5D864"/>
  <w15:chartTrackingRefBased/>
  <w15:docId w15:val="{13BBFD0E-B21B-4F71-9D60-23AF22858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00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255</Words>
  <Characters>1455</Characters>
  <Application>Microsoft Office Word</Application>
  <DocSecurity>0</DocSecurity>
  <Lines>12</Lines>
  <Paragraphs>3</Paragraphs>
  <ScaleCrop>false</ScaleCrop>
  <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肖蒙</dc:creator>
  <cp:keywords/>
  <dc:description/>
  <cp:lastModifiedBy>肖蒙</cp:lastModifiedBy>
  <cp:revision>1</cp:revision>
  <dcterms:created xsi:type="dcterms:W3CDTF">2023-11-03T02:52:00Z</dcterms:created>
  <dcterms:modified xsi:type="dcterms:W3CDTF">2023-11-03T03:00:00Z</dcterms:modified>
</cp:coreProperties>
</file>